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FD" w:rsidRPr="001551FD" w:rsidRDefault="001551FD" w:rsidP="001551FD">
      <w:pPr>
        <w:shd w:val="clear" w:color="auto" w:fill="FFFFFF"/>
        <w:ind w:left="5103"/>
        <w:jc w:val="right"/>
        <w:rPr>
          <w:sz w:val="24"/>
          <w:szCs w:val="24"/>
        </w:rPr>
      </w:pPr>
      <w:bookmarkStart w:id="0" w:name="_GoBack"/>
      <w:bookmarkEnd w:id="0"/>
      <w:r w:rsidRPr="001551FD">
        <w:rPr>
          <w:sz w:val="24"/>
          <w:szCs w:val="24"/>
        </w:rPr>
        <w:t>Приложение № 1</w:t>
      </w:r>
    </w:p>
    <w:p w:rsidR="001551FD" w:rsidRPr="001551FD" w:rsidRDefault="001551FD" w:rsidP="001551FD">
      <w:pPr>
        <w:shd w:val="clear" w:color="auto" w:fill="FFFFFF"/>
        <w:ind w:left="5103"/>
        <w:jc w:val="right"/>
        <w:rPr>
          <w:color w:val="000000"/>
          <w:sz w:val="27"/>
          <w:szCs w:val="27"/>
        </w:rPr>
      </w:pPr>
      <w:proofErr w:type="gramStart"/>
      <w:r w:rsidRPr="001551FD">
        <w:rPr>
          <w:sz w:val="24"/>
          <w:szCs w:val="24"/>
        </w:rPr>
        <w:t>к</w:t>
      </w:r>
      <w:proofErr w:type="gramEnd"/>
      <w:r w:rsidRPr="001551FD">
        <w:rPr>
          <w:sz w:val="24"/>
          <w:szCs w:val="24"/>
        </w:rPr>
        <w:t xml:space="preserve"> постановлению </w:t>
      </w:r>
      <w:bookmarkStart w:id="1" w:name="_Hlk165035908"/>
      <w:r w:rsidRPr="001551FD">
        <w:rPr>
          <w:sz w:val="24"/>
          <w:szCs w:val="24"/>
        </w:rPr>
        <w:t>администрации муни</w:t>
      </w:r>
      <w:r>
        <w:rPr>
          <w:sz w:val="24"/>
          <w:szCs w:val="24"/>
        </w:rPr>
        <w:t xml:space="preserve">ципального округа город Кировск </w:t>
      </w:r>
      <w:r w:rsidRPr="001551FD">
        <w:rPr>
          <w:sz w:val="24"/>
          <w:szCs w:val="24"/>
        </w:rPr>
        <w:t xml:space="preserve">Мурманской области </w:t>
      </w:r>
      <w:bookmarkEnd w:id="1"/>
      <w:r w:rsidRPr="001551FD">
        <w:rPr>
          <w:sz w:val="24"/>
          <w:szCs w:val="24"/>
        </w:rPr>
        <w:t>от 26.04.2024 № 593</w:t>
      </w:r>
    </w:p>
    <w:p w:rsidR="001551FD" w:rsidRPr="001551FD" w:rsidRDefault="001551FD" w:rsidP="001551FD">
      <w:pPr>
        <w:shd w:val="clear" w:color="auto" w:fill="FFFFFF"/>
        <w:jc w:val="center"/>
        <w:rPr>
          <w:color w:val="000000"/>
          <w:sz w:val="27"/>
          <w:szCs w:val="27"/>
        </w:rPr>
      </w:pPr>
      <w:r w:rsidRPr="001551FD">
        <w:rPr>
          <w:color w:val="000000"/>
          <w:sz w:val="27"/>
          <w:szCs w:val="27"/>
        </w:rPr>
        <w:t> </w:t>
      </w:r>
    </w:p>
    <w:p w:rsidR="001551FD" w:rsidRPr="001551FD" w:rsidRDefault="001551FD" w:rsidP="001551FD">
      <w:pPr>
        <w:ind w:firstLine="709"/>
        <w:jc w:val="center"/>
        <w:rPr>
          <w:sz w:val="24"/>
          <w:szCs w:val="24"/>
        </w:rPr>
      </w:pPr>
      <w:r w:rsidRPr="001551FD">
        <w:rPr>
          <w:sz w:val="24"/>
          <w:szCs w:val="24"/>
        </w:rPr>
        <w:t>Регламент</w:t>
      </w:r>
    </w:p>
    <w:p w:rsidR="001551FD" w:rsidRPr="001551FD" w:rsidRDefault="001551FD" w:rsidP="001551FD">
      <w:pPr>
        <w:ind w:firstLine="709"/>
        <w:jc w:val="center"/>
        <w:rPr>
          <w:sz w:val="24"/>
          <w:szCs w:val="24"/>
        </w:rPr>
      </w:pPr>
      <w:proofErr w:type="gramStart"/>
      <w:r w:rsidRPr="001551FD">
        <w:rPr>
          <w:sz w:val="24"/>
          <w:szCs w:val="24"/>
        </w:rPr>
        <w:t>работы</w:t>
      </w:r>
      <w:proofErr w:type="gramEnd"/>
      <w:r w:rsidRPr="001551FD">
        <w:rPr>
          <w:sz w:val="24"/>
          <w:szCs w:val="24"/>
        </w:rPr>
        <w:t xml:space="preserve"> согласительной комиссии по согласованию местоположения</w:t>
      </w:r>
    </w:p>
    <w:p w:rsidR="001551FD" w:rsidRPr="001551FD" w:rsidRDefault="001551FD" w:rsidP="001551FD">
      <w:pPr>
        <w:ind w:firstLine="709"/>
        <w:jc w:val="center"/>
        <w:rPr>
          <w:sz w:val="24"/>
          <w:szCs w:val="24"/>
        </w:rPr>
      </w:pPr>
      <w:proofErr w:type="gramStart"/>
      <w:r w:rsidRPr="001551FD">
        <w:rPr>
          <w:sz w:val="24"/>
          <w:szCs w:val="24"/>
        </w:rPr>
        <w:t>границ</w:t>
      </w:r>
      <w:proofErr w:type="gramEnd"/>
      <w:r w:rsidRPr="001551FD">
        <w:rPr>
          <w:sz w:val="24"/>
          <w:szCs w:val="24"/>
        </w:rPr>
        <w:t xml:space="preserve"> земельных участков  при выполнении комплексных  кадастровых</w:t>
      </w:r>
    </w:p>
    <w:p w:rsidR="001551FD" w:rsidRPr="001551FD" w:rsidRDefault="001551FD" w:rsidP="001551FD">
      <w:pPr>
        <w:ind w:firstLine="709"/>
        <w:jc w:val="center"/>
        <w:rPr>
          <w:sz w:val="24"/>
          <w:szCs w:val="24"/>
        </w:rPr>
      </w:pPr>
      <w:proofErr w:type="gramStart"/>
      <w:r w:rsidRPr="001551FD">
        <w:rPr>
          <w:sz w:val="24"/>
          <w:szCs w:val="24"/>
        </w:rPr>
        <w:t>работ</w:t>
      </w:r>
      <w:proofErr w:type="gramEnd"/>
      <w:r w:rsidRPr="001551FD">
        <w:rPr>
          <w:sz w:val="24"/>
          <w:szCs w:val="24"/>
        </w:rPr>
        <w:t xml:space="preserve"> на территории муниципального округа город Кировск Мурманской области</w:t>
      </w:r>
    </w:p>
    <w:p w:rsidR="001551FD" w:rsidRPr="001551FD" w:rsidRDefault="001551FD" w:rsidP="001551FD">
      <w:pPr>
        <w:ind w:firstLine="709"/>
        <w:jc w:val="center"/>
        <w:rPr>
          <w:sz w:val="24"/>
          <w:szCs w:val="24"/>
        </w:rPr>
      </w:pPr>
    </w:p>
    <w:p w:rsidR="001551FD" w:rsidRPr="001551FD" w:rsidRDefault="001551FD" w:rsidP="001551FD">
      <w:pPr>
        <w:ind w:firstLine="709"/>
        <w:jc w:val="center"/>
        <w:rPr>
          <w:sz w:val="24"/>
          <w:szCs w:val="24"/>
        </w:rPr>
      </w:pPr>
      <w:r w:rsidRPr="001551FD">
        <w:rPr>
          <w:sz w:val="24"/>
          <w:szCs w:val="24"/>
        </w:rPr>
        <w:t>1. Общие положения</w:t>
      </w:r>
    </w:p>
    <w:p w:rsidR="001551FD" w:rsidRPr="001551FD" w:rsidRDefault="001551FD" w:rsidP="001551FD">
      <w:pPr>
        <w:shd w:val="clear" w:color="auto" w:fill="FFFFFF"/>
        <w:ind w:firstLine="708"/>
        <w:jc w:val="both"/>
        <w:textAlignment w:val="baseline"/>
        <w:rPr>
          <w:color w:val="000000"/>
          <w:sz w:val="26"/>
          <w:szCs w:val="26"/>
        </w:rPr>
      </w:pPr>
      <w:r w:rsidRPr="001551FD">
        <w:rPr>
          <w:color w:val="000000"/>
          <w:spacing w:val="2"/>
          <w:sz w:val="26"/>
          <w:szCs w:val="26"/>
        </w:rPr>
        <w:t> </w:t>
      </w:r>
    </w:p>
    <w:p w:rsidR="001551FD" w:rsidRPr="001551FD" w:rsidRDefault="001551FD" w:rsidP="001551FD">
      <w:pPr>
        <w:ind w:firstLine="709"/>
        <w:jc w:val="both"/>
        <w:rPr>
          <w:sz w:val="24"/>
          <w:szCs w:val="24"/>
        </w:rPr>
      </w:pPr>
      <w:r w:rsidRPr="001551FD">
        <w:rPr>
          <w:sz w:val="24"/>
          <w:szCs w:val="24"/>
        </w:rPr>
        <w:t xml:space="preserve">1.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округа город Кировск с подведомственной территорией Мурманской области разработан в соответствии с положениями статьи 42.10 Федерального закона от 24.07.2007 № 221-ФЗ «О кадастровой деятельности» (далее - Закон № 221-ФЗ) и устанавливает общие положения по формированию, составу и порядку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округа город Кировск с подведомственной территорией Мурманской области (далее - Согласительная комиссия). </w:t>
      </w:r>
    </w:p>
    <w:p w:rsidR="001551FD" w:rsidRPr="001551FD" w:rsidRDefault="001551FD" w:rsidP="001551FD">
      <w:pPr>
        <w:ind w:firstLine="709"/>
        <w:jc w:val="both"/>
        <w:rPr>
          <w:sz w:val="24"/>
          <w:szCs w:val="24"/>
        </w:rPr>
      </w:pPr>
      <w:r w:rsidRPr="001551FD">
        <w:rPr>
          <w:sz w:val="24"/>
          <w:szCs w:val="24"/>
        </w:rPr>
        <w:t xml:space="preserve">2. Согласительная комиссия формируется в соответствии с частями 1 - 4 статьи 42.10 Закона № 221-ФЗ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администрацией </w:t>
      </w:r>
      <w:bookmarkStart w:id="2" w:name="_Hlk165033560"/>
      <w:r w:rsidRPr="001551FD">
        <w:rPr>
          <w:sz w:val="24"/>
          <w:szCs w:val="24"/>
        </w:rPr>
        <w:t xml:space="preserve">муниципального округа город Кировск Мурманской области </w:t>
      </w:r>
      <w:bookmarkEnd w:id="2"/>
      <w:r w:rsidRPr="001551FD">
        <w:rPr>
          <w:sz w:val="24"/>
          <w:szCs w:val="24"/>
        </w:rPr>
        <w:t xml:space="preserve">(далее – администрация). </w:t>
      </w:r>
    </w:p>
    <w:p w:rsidR="001551FD" w:rsidRPr="001551FD" w:rsidRDefault="001551FD" w:rsidP="001551FD">
      <w:pPr>
        <w:ind w:firstLine="709"/>
        <w:jc w:val="both"/>
        <w:rPr>
          <w:sz w:val="24"/>
          <w:szCs w:val="24"/>
        </w:rPr>
      </w:pPr>
      <w:r w:rsidRPr="001551FD">
        <w:rPr>
          <w:sz w:val="24"/>
          <w:szCs w:val="24"/>
        </w:rPr>
        <w:t xml:space="preserve">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муниципального округа город Кировск с подведомственной территорией Мурманской области. </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II. Полномочия Согласительной комиссии</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 xml:space="preserve">4. К полномочиям Согласительной комиссии относятся: </w:t>
      </w:r>
    </w:p>
    <w:p w:rsidR="001551FD" w:rsidRPr="001551FD" w:rsidRDefault="001551FD" w:rsidP="001551FD">
      <w:pPr>
        <w:ind w:firstLine="709"/>
        <w:jc w:val="both"/>
        <w:rPr>
          <w:sz w:val="24"/>
          <w:szCs w:val="24"/>
        </w:rPr>
      </w:pPr>
      <w:r w:rsidRPr="001551FD">
        <w:rPr>
          <w:sz w:val="24"/>
          <w:szCs w:val="24"/>
        </w:rPr>
        <w:t xml:space="preserve">1) рассмотрение возражений заинтересованных лиц, указанных в части 3 статьи 39 Закона № 221-ФЗ, относительно местоположения границ земельных участков; </w:t>
      </w:r>
    </w:p>
    <w:p w:rsidR="001551FD" w:rsidRPr="001551FD" w:rsidRDefault="001551FD" w:rsidP="001551FD">
      <w:pPr>
        <w:ind w:firstLine="709"/>
        <w:jc w:val="both"/>
        <w:rPr>
          <w:sz w:val="24"/>
          <w:szCs w:val="24"/>
        </w:rPr>
      </w:pPr>
      <w:r w:rsidRPr="001551FD">
        <w:rPr>
          <w:sz w:val="24"/>
          <w:szCs w:val="24"/>
        </w:rPr>
        <w:t xml:space="preserve">2) подготовка заключения Согласительной комиссии о результатах рассмотрения возражений заинтересованных лиц, указанных в части 3 статьи 39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1551FD" w:rsidRPr="001551FD" w:rsidRDefault="001551FD" w:rsidP="001551FD">
      <w:pPr>
        <w:ind w:firstLine="709"/>
        <w:jc w:val="both"/>
        <w:rPr>
          <w:sz w:val="24"/>
          <w:szCs w:val="24"/>
        </w:rPr>
      </w:pPr>
      <w:r w:rsidRPr="001551FD">
        <w:rPr>
          <w:sz w:val="24"/>
          <w:szCs w:val="24"/>
        </w:rPr>
        <w:t xml:space="preserve">3) оформление акта согласования местоположения границ при выполнении комплексных кадастровых работ; </w:t>
      </w:r>
    </w:p>
    <w:p w:rsidR="001551FD" w:rsidRPr="001551FD" w:rsidRDefault="001551FD" w:rsidP="001551FD">
      <w:pPr>
        <w:ind w:firstLine="709"/>
        <w:jc w:val="both"/>
        <w:rPr>
          <w:sz w:val="24"/>
          <w:szCs w:val="24"/>
        </w:rPr>
      </w:pPr>
      <w:r w:rsidRPr="001551FD">
        <w:rPr>
          <w:sz w:val="24"/>
          <w:szCs w:val="24"/>
        </w:rPr>
        <w:t xml:space="preserve">4) разъяснение заинтересованным лицам, указанным в части 3 статьи 39 Закона № 221-ФЗ, возможности разрешения земельного спора о местоположении границ земельных участков в судебном порядке. </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III. Состав Согласительной комиссии, полномочия членов Согласительной комиссии</w:t>
      </w:r>
    </w:p>
    <w:p w:rsidR="001551FD" w:rsidRPr="001551FD" w:rsidRDefault="001551FD" w:rsidP="001551FD">
      <w:pPr>
        <w:ind w:firstLine="709"/>
        <w:jc w:val="both"/>
        <w:rPr>
          <w:sz w:val="24"/>
          <w:szCs w:val="24"/>
        </w:rPr>
      </w:pPr>
      <w:r w:rsidRPr="001551FD">
        <w:rPr>
          <w:sz w:val="24"/>
          <w:szCs w:val="24"/>
        </w:rPr>
        <w:t>5. В состав Согласительной комиссии включаются по одному представителю от:</w:t>
      </w:r>
    </w:p>
    <w:p w:rsidR="001551FD" w:rsidRPr="001551FD" w:rsidRDefault="001551FD" w:rsidP="001551FD">
      <w:pPr>
        <w:ind w:firstLine="709"/>
        <w:jc w:val="both"/>
        <w:rPr>
          <w:sz w:val="24"/>
          <w:szCs w:val="24"/>
        </w:rPr>
      </w:pPr>
      <w:r w:rsidRPr="001551FD">
        <w:rPr>
          <w:sz w:val="24"/>
          <w:szCs w:val="24"/>
        </w:rPr>
        <w:t xml:space="preserve">1) Министерства имущественных отношений Мурманской области; </w:t>
      </w:r>
    </w:p>
    <w:p w:rsidR="001551FD" w:rsidRPr="001551FD" w:rsidRDefault="001551FD" w:rsidP="001551FD">
      <w:pPr>
        <w:ind w:firstLine="709"/>
        <w:jc w:val="both"/>
        <w:rPr>
          <w:sz w:val="24"/>
          <w:szCs w:val="24"/>
        </w:rPr>
      </w:pPr>
      <w:r w:rsidRPr="001551FD">
        <w:rPr>
          <w:sz w:val="24"/>
          <w:szCs w:val="24"/>
        </w:rPr>
        <w:lastRenderedPageBreak/>
        <w:t xml:space="preserve">2) Министерства градостроительства и благоустройства Мурманской области; </w:t>
      </w:r>
    </w:p>
    <w:p w:rsidR="001551FD" w:rsidRPr="001551FD" w:rsidRDefault="001551FD" w:rsidP="001551FD">
      <w:pPr>
        <w:ind w:firstLine="709"/>
        <w:jc w:val="both"/>
        <w:rPr>
          <w:sz w:val="24"/>
          <w:szCs w:val="24"/>
        </w:rPr>
      </w:pPr>
      <w:r w:rsidRPr="001551FD">
        <w:rPr>
          <w:sz w:val="24"/>
          <w:szCs w:val="24"/>
        </w:rPr>
        <w:t xml:space="preserve">3)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 </w:t>
      </w:r>
    </w:p>
    <w:p w:rsidR="001551FD" w:rsidRPr="001551FD" w:rsidRDefault="001551FD" w:rsidP="001551FD">
      <w:pPr>
        <w:ind w:firstLine="709"/>
        <w:jc w:val="both"/>
        <w:rPr>
          <w:sz w:val="24"/>
          <w:szCs w:val="24"/>
        </w:rPr>
      </w:pPr>
      <w:r w:rsidRPr="001551FD">
        <w:rPr>
          <w:sz w:val="24"/>
          <w:szCs w:val="24"/>
        </w:rPr>
        <w:t>4) Департамента лесного хозяйства по Северо-Западному федеральному округу, в случае если объектами комплексных кадастровых работ являлись лесные участки из земель лесного фонда;</w:t>
      </w:r>
    </w:p>
    <w:p w:rsidR="001551FD" w:rsidRPr="001551FD" w:rsidRDefault="001551FD" w:rsidP="001551FD">
      <w:pPr>
        <w:ind w:firstLine="709"/>
        <w:jc w:val="both"/>
        <w:rPr>
          <w:sz w:val="24"/>
          <w:szCs w:val="24"/>
        </w:rPr>
      </w:pPr>
      <w:r w:rsidRPr="001551FD">
        <w:rPr>
          <w:sz w:val="24"/>
          <w:szCs w:val="24"/>
        </w:rPr>
        <w:t xml:space="preserve"> 5) администрации; </w:t>
      </w:r>
    </w:p>
    <w:p w:rsidR="001551FD" w:rsidRPr="001551FD" w:rsidRDefault="001551FD" w:rsidP="001551FD">
      <w:pPr>
        <w:ind w:firstLine="709"/>
        <w:jc w:val="both"/>
        <w:rPr>
          <w:sz w:val="24"/>
          <w:szCs w:val="24"/>
        </w:rPr>
      </w:pPr>
      <w:r w:rsidRPr="001551FD">
        <w:rPr>
          <w:sz w:val="24"/>
          <w:szCs w:val="24"/>
        </w:rPr>
        <w:t xml:space="preserve">6) Управления Федеральной службы государственной регистрации, кадастра и картографии по Мурманской области; </w:t>
      </w:r>
    </w:p>
    <w:p w:rsidR="001551FD" w:rsidRPr="001551FD" w:rsidRDefault="001551FD" w:rsidP="001551FD">
      <w:pPr>
        <w:ind w:firstLine="709"/>
        <w:jc w:val="both"/>
        <w:rPr>
          <w:sz w:val="24"/>
          <w:szCs w:val="24"/>
        </w:rPr>
      </w:pPr>
      <w:r w:rsidRPr="001551FD">
        <w:rPr>
          <w:sz w:val="24"/>
          <w:szCs w:val="24"/>
        </w:rPr>
        <w:t xml:space="preserve">7) саморегулируемой организации, членом которой является кадастровый инженер; 8) уполномоченного в области градостроительной деятельности органа местного самоуправления города Кировска; </w:t>
      </w:r>
    </w:p>
    <w:p w:rsidR="001551FD" w:rsidRPr="001551FD" w:rsidRDefault="001551FD" w:rsidP="001551FD">
      <w:pPr>
        <w:ind w:firstLine="709"/>
        <w:jc w:val="both"/>
        <w:rPr>
          <w:sz w:val="24"/>
          <w:szCs w:val="24"/>
        </w:rPr>
      </w:pPr>
      <w:r w:rsidRPr="001551FD">
        <w:rPr>
          <w:sz w:val="24"/>
          <w:szCs w:val="24"/>
        </w:rPr>
        <w:t xml:space="preserve">9) товарищества собственников недвижимости (в том числе садоводческого или огороднического некоммерческого товарищества), либо потребительского кооператива (жилищного, жилищно-строительного или гаражного), либо иного гражданско-правового сообщества, указанного в пункте 3 части 6 статьи 42.2 Закона № 221-ФЗ, в случае, если выполнение комплексных кадастровых работ финансируется за счет бюджетных средств, уполномоченному решением общего собрания членов товарищества; </w:t>
      </w:r>
    </w:p>
    <w:p w:rsidR="001551FD" w:rsidRPr="001551FD" w:rsidRDefault="001551FD" w:rsidP="001551FD">
      <w:pPr>
        <w:ind w:firstLine="709"/>
        <w:jc w:val="both"/>
        <w:rPr>
          <w:sz w:val="24"/>
          <w:szCs w:val="24"/>
        </w:rPr>
      </w:pPr>
      <w:r w:rsidRPr="001551FD">
        <w:rPr>
          <w:sz w:val="24"/>
          <w:szCs w:val="24"/>
        </w:rPr>
        <w:t xml:space="preserve">10) заказчика комплексных кадастровых работ в случае, если выполнение таких работ финансируется за счет внебюджетных средств. </w:t>
      </w:r>
    </w:p>
    <w:p w:rsidR="001551FD" w:rsidRPr="001551FD" w:rsidRDefault="001551FD" w:rsidP="001551FD">
      <w:pPr>
        <w:ind w:firstLine="709"/>
        <w:jc w:val="both"/>
        <w:rPr>
          <w:sz w:val="24"/>
          <w:szCs w:val="24"/>
        </w:rPr>
      </w:pPr>
      <w:r w:rsidRPr="001551FD">
        <w:rPr>
          <w:sz w:val="24"/>
          <w:szCs w:val="24"/>
        </w:rPr>
        <w:t xml:space="preserve">6. Председателем Согласительной комиссии является глава администрации муниципального округа город Кировск Мурманской области либо уполномоченное им лицо. </w:t>
      </w:r>
    </w:p>
    <w:p w:rsidR="001551FD" w:rsidRPr="001551FD" w:rsidRDefault="001551FD" w:rsidP="001551FD">
      <w:pPr>
        <w:ind w:firstLine="709"/>
        <w:jc w:val="both"/>
        <w:rPr>
          <w:sz w:val="24"/>
          <w:szCs w:val="24"/>
        </w:rPr>
      </w:pPr>
      <w:r w:rsidRPr="001551FD">
        <w:rPr>
          <w:sz w:val="24"/>
          <w:szCs w:val="24"/>
        </w:rPr>
        <w:t xml:space="preserve">7. Председатель Согласительной комиссии: </w:t>
      </w:r>
    </w:p>
    <w:p w:rsidR="001551FD" w:rsidRPr="001551FD" w:rsidRDefault="001551FD" w:rsidP="001551FD">
      <w:pPr>
        <w:ind w:firstLine="709"/>
        <w:jc w:val="both"/>
        <w:rPr>
          <w:sz w:val="24"/>
          <w:szCs w:val="24"/>
        </w:rPr>
      </w:pPr>
      <w:r w:rsidRPr="001551FD">
        <w:rPr>
          <w:sz w:val="24"/>
          <w:szCs w:val="24"/>
        </w:rPr>
        <w:t xml:space="preserve">1) осуществляет общее руководство деятельностью Согласительной комиссии; </w:t>
      </w:r>
    </w:p>
    <w:p w:rsidR="001551FD" w:rsidRPr="001551FD" w:rsidRDefault="001551FD" w:rsidP="001551FD">
      <w:pPr>
        <w:ind w:firstLine="709"/>
        <w:jc w:val="both"/>
        <w:rPr>
          <w:sz w:val="24"/>
          <w:szCs w:val="24"/>
        </w:rPr>
      </w:pPr>
      <w:r w:rsidRPr="001551FD">
        <w:rPr>
          <w:sz w:val="24"/>
          <w:szCs w:val="24"/>
        </w:rPr>
        <w:t xml:space="preserve">2) председательствует на заседаниях Согласительной комиссии; </w:t>
      </w:r>
    </w:p>
    <w:p w:rsidR="001551FD" w:rsidRPr="001551FD" w:rsidRDefault="001551FD" w:rsidP="001551FD">
      <w:pPr>
        <w:ind w:firstLine="709"/>
        <w:jc w:val="both"/>
        <w:rPr>
          <w:sz w:val="24"/>
          <w:szCs w:val="24"/>
        </w:rPr>
      </w:pPr>
      <w:r w:rsidRPr="001551FD">
        <w:rPr>
          <w:sz w:val="24"/>
          <w:szCs w:val="24"/>
        </w:rPr>
        <w:t xml:space="preserve">3) распределяет обязанности между членами Согласительной комиссии; </w:t>
      </w:r>
    </w:p>
    <w:p w:rsidR="001551FD" w:rsidRPr="001551FD" w:rsidRDefault="001551FD" w:rsidP="001551FD">
      <w:pPr>
        <w:ind w:firstLine="709"/>
        <w:jc w:val="both"/>
        <w:rPr>
          <w:sz w:val="24"/>
          <w:szCs w:val="24"/>
        </w:rPr>
      </w:pPr>
      <w:r w:rsidRPr="001551FD">
        <w:rPr>
          <w:sz w:val="24"/>
          <w:szCs w:val="24"/>
        </w:rPr>
        <w:t>4) назначает дату заседания Согласительной комиссии;</w:t>
      </w:r>
    </w:p>
    <w:p w:rsidR="001551FD" w:rsidRPr="001551FD" w:rsidRDefault="001551FD" w:rsidP="001551FD">
      <w:pPr>
        <w:ind w:firstLine="709"/>
        <w:jc w:val="both"/>
        <w:rPr>
          <w:sz w:val="24"/>
          <w:szCs w:val="24"/>
        </w:rPr>
      </w:pPr>
      <w:r w:rsidRPr="001551FD">
        <w:rPr>
          <w:sz w:val="24"/>
          <w:szCs w:val="24"/>
        </w:rPr>
        <w:t xml:space="preserve">5) осуществляет общий контроль за деятельностью Согласительной комиссии; </w:t>
      </w:r>
    </w:p>
    <w:p w:rsidR="001551FD" w:rsidRPr="001551FD" w:rsidRDefault="001551FD" w:rsidP="001551FD">
      <w:pPr>
        <w:ind w:firstLine="709"/>
        <w:jc w:val="both"/>
        <w:rPr>
          <w:sz w:val="24"/>
          <w:szCs w:val="24"/>
        </w:rPr>
      </w:pPr>
      <w:r w:rsidRPr="001551FD">
        <w:rPr>
          <w:sz w:val="24"/>
          <w:szCs w:val="24"/>
        </w:rPr>
        <w:t xml:space="preserve">6) осуществляет иные полномочия, необходимые для организации надлежащей деятельности Согласительной комиссии. </w:t>
      </w:r>
    </w:p>
    <w:p w:rsidR="001551FD" w:rsidRPr="001551FD" w:rsidRDefault="001551FD" w:rsidP="001551FD">
      <w:pPr>
        <w:ind w:firstLine="709"/>
        <w:jc w:val="both"/>
        <w:rPr>
          <w:sz w:val="24"/>
          <w:szCs w:val="24"/>
        </w:rPr>
      </w:pPr>
      <w:r w:rsidRPr="001551FD">
        <w:rPr>
          <w:sz w:val="24"/>
          <w:szCs w:val="24"/>
        </w:rPr>
        <w:t xml:space="preserve">8. В отсутствие председателя Согласительной комиссии его обязанности исполняет заместитель председателя Согласительной комиссии. </w:t>
      </w:r>
    </w:p>
    <w:p w:rsidR="001551FD" w:rsidRPr="001551FD" w:rsidRDefault="001551FD" w:rsidP="001551FD">
      <w:pPr>
        <w:ind w:firstLine="709"/>
        <w:jc w:val="both"/>
        <w:rPr>
          <w:sz w:val="24"/>
          <w:szCs w:val="24"/>
        </w:rPr>
      </w:pPr>
      <w:r w:rsidRPr="001551FD">
        <w:rPr>
          <w:sz w:val="24"/>
          <w:szCs w:val="24"/>
        </w:rPr>
        <w:t xml:space="preserve">9. Секретарь Согласительной комиссии: </w:t>
      </w:r>
    </w:p>
    <w:p w:rsidR="001551FD" w:rsidRPr="001551FD" w:rsidRDefault="001551FD" w:rsidP="001551FD">
      <w:pPr>
        <w:ind w:firstLine="709"/>
        <w:jc w:val="both"/>
        <w:rPr>
          <w:sz w:val="24"/>
          <w:szCs w:val="24"/>
        </w:rPr>
      </w:pPr>
      <w:r w:rsidRPr="001551FD">
        <w:rPr>
          <w:sz w:val="24"/>
          <w:szCs w:val="24"/>
        </w:rPr>
        <w:t xml:space="preserve">1) ведет протокол заседания Согласительной комиссии, оформляет протокол заседания Согласительной комиссии; </w:t>
      </w:r>
    </w:p>
    <w:p w:rsidR="001551FD" w:rsidRPr="001551FD" w:rsidRDefault="001551FD" w:rsidP="001551FD">
      <w:pPr>
        <w:ind w:firstLine="709"/>
        <w:jc w:val="both"/>
        <w:rPr>
          <w:sz w:val="24"/>
          <w:szCs w:val="24"/>
        </w:rPr>
      </w:pPr>
      <w:r w:rsidRPr="001551FD">
        <w:rPr>
          <w:sz w:val="24"/>
          <w:szCs w:val="24"/>
        </w:rPr>
        <w:t xml:space="preserve">2) готовит материалы к заседанию Согласительной комиссии и проекты принимаемых решений; </w:t>
      </w:r>
    </w:p>
    <w:p w:rsidR="001551FD" w:rsidRPr="001551FD" w:rsidRDefault="001551FD" w:rsidP="001551FD">
      <w:pPr>
        <w:ind w:firstLine="709"/>
        <w:jc w:val="both"/>
        <w:rPr>
          <w:sz w:val="24"/>
          <w:szCs w:val="24"/>
        </w:rPr>
      </w:pPr>
      <w:r w:rsidRPr="001551FD">
        <w:rPr>
          <w:sz w:val="24"/>
          <w:szCs w:val="24"/>
        </w:rPr>
        <w:t xml:space="preserve">3) информирует членов Согласительной комиссии о дате, месте и времени проведения заседаний Согласительной комиссии и о вопросах, включенных в повестку дня заседания Согласительной комиссии, не позднее чем за три рабочих дня до дня проведения заседания; </w:t>
      </w:r>
    </w:p>
    <w:p w:rsidR="001551FD" w:rsidRPr="001551FD" w:rsidRDefault="001551FD" w:rsidP="001551FD">
      <w:pPr>
        <w:ind w:firstLine="709"/>
        <w:jc w:val="both"/>
        <w:rPr>
          <w:sz w:val="24"/>
          <w:szCs w:val="24"/>
        </w:rPr>
      </w:pPr>
      <w:r w:rsidRPr="001551FD">
        <w:rPr>
          <w:sz w:val="24"/>
          <w:szCs w:val="24"/>
        </w:rPr>
        <w:t xml:space="preserve">4) выполняет иные,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 </w:t>
      </w:r>
    </w:p>
    <w:p w:rsidR="001551FD" w:rsidRPr="001551FD" w:rsidRDefault="001551FD" w:rsidP="001551FD">
      <w:pPr>
        <w:ind w:firstLine="709"/>
        <w:jc w:val="both"/>
        <w:rPr>
          <w:sz w:val="24"/>
          <w:szCs w:val="24"/>
        </w:rPr>
      </w:pPr>
      <w:r w:rsidRPr="001551FD">
        <w:rPr>
          <w:sz w:val="24"/>
          <w:szCs w:val="24"/>
        </w:rPr>
        <w:t xml:space="preserve">10. Члены Согласительной комиссии обязаны: </w:t>
      </w:r>
    </w:p>
    <w:p w:rsidR="001551FD" w:rsidRPr="001551FD" w:rsidRDefault="001551FD" w:rsidP="001551FD">
      <w:pPr>
        <w:ind w:firstLine="709"/>
        <w:jc w:val="both"/>
        <w:rPr>
          <w:sz w:val="24"/>
          <w:szCs w:val="24"/>
        </w:rPr>
      </w:pPr>
      <w:r w:rsidRPr="001551FD">
        <w:rPr>
          <w:sz w:val="24"/>
          <w:szCs w:val="24"/>
        </w:rPr>
        <w:t xml:space="preserve">1) принимать участие в подготовке заседаний Согласительной комиссии в соответствии с поручением председателя Согласительной комиссии; </w:t>
      </w:r>
    </w:p>
    <w:p w:rsidR="001551FD" w:rsidRPr="001551FD" w:rsidRDefault="001551FD" w:rsidP="001551FD">
      <w:pPr>
        <w:ind w:firstLine="709"/>
        <w:jc w:val="both"/>
        <w:rPr>
          <w:sz w:val="24"/>
          <w:szCs w:val="24"/>
        </w:rPr>
      </w:pPr>
      <w:r w:rsidRPr="001551FD">
        <w:rPr>
          <w:sz w:val="24"/>
          <w:szCs w:val="24"/>
        </w:rPr>
        <w:t xml:space="preserve">2) принимать участие в заседаниях Согласительной комиссии. </w:t>
      </w:r>
    </w:p>
    <w:p w:rsidR="001551FD" w:rsidRPr="001551FD" w:rsidRDefault="001551FD" w:rsidP="001551FD">
      <w:pPr>
        <w:ind w:firstLine="709"/>
        <w:jc w:val="both"/>
        <w:rPr>
          <w:sz w:val="24"/>
          <w:szCs w:val="24"/>
        </w:rPr>
      </w:pPr>
      <w:r w:rsidRPr="001551FD">
        <w:rPr>
          <w:sz w:val="24"/>
          <w:szCs w:val="24"/>
        </w:rPr>
        <w:t xml:space="preserve">11. Заседание Согласительной комиссии правомочно, если на нем присутствует две трети от установленного числа членов Согласительной комиссии. </w:t>
      </w:r>
    </w:p>
    <w:p w:rsidR="001551FD" w:rsidRPr="001551FD" w:rsidRDefault="001551FD" w:rsidP="001551FD">
      <w:pPr>
        <w:ind w:firstLine="709"/>
        <w:jc w:val="both"/>
        <w:rPr>
          <w:sz w:val="24"/>
          <w:szCs w:val="24"/>
        </w:rPr>
      </w:pPr>
      <w:r w:rsidRPr="001551FD">
        <w:rPr>
          <w:sz w:val="24"/>
          <w:szCs w:val="24"/>
        </w:rPr>
        <w:t xml:space="preserve">12.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w:t>
      </w:r>
      <w:r w:rsidRPr="001551FD">
        <w:rPr>
          <w:sz w:val="24"/>
          <w:szCs w:val="24"/>
        </w:rPr>
        <w:lastRenderedPageBreak/>
        <w:t>членов Согласительной комиссии. При равенстве голосов решающим является голос председателя Согласительной комиссии.</w:t>
      </w:r>
    </w:p>
    <w:p w:rsidR="001551FD" w:rsidRPr="001551FD" w:rsidRDefault="001551FD" w:rsidP="001551FD">
      <w:pPr>
        <w:ind w:firstLine="709"/>
        <w:jc w:val="both"/>
        <w:rPr>
          <w:sz w:val="24"/>
          <w:szCs w:val="24"/>
        </w:rPr>
      </w:pPr>
      <w:r w:rsidRPr="001551FD">
        <w:rPr>
          <w:sz w:val="24"/>
          <w:szCs w:val="24"/>
        </w:rPr>
        <w:t xml:space="preserve"> 13. В случае несогласия с принятым на заседании решением члены Согласительной комиссии имеют право излагать в письменной форме свое мнение, которое подлежит обязательному приобщению к протоколу заседания Согласительной комиссии.</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IV. Порядок работы Согласительной комиссии</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 xml:space="preserve"> 14.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карты-плана территории. </w:t>
      </w:r>
    </w:p>
    <w:p w:rsidR="001551FD" w:rsidRPr="001551FD" w:rsidRDefault="001551FD" w:rsidP="001551FD">
      <w:pPr>
        <w:ind w:firstLine="709"/>
        <w:jc w:val="both"/>
        <w:rPr>
          <w:sz w:val="24"/>
          <w:szCs w:val="24"/>
        </w:rPr>
      </w:pPr>
      <w:r w:rsidRPr="001551FD">
        <w:rPr>
          <w:sz w:val="24"/>
          <w:szCs w:val="24"/>
        </w:rPr>
        <w:t>15.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Закона № 221-ФЗ порядке, приглашаются заинтересованные лица, указанные в части 3 статьи 39 Закона № 221-ФЗ, и исполнитель комплексных кадастровых работ.</w:t>
      </w:r>
    </w:p>
    <w:p w:rsidR="001551FD" w:rsidRPr="001551FD" w:rsidRDefault="001551FD" w:rsidP="001551FD">
      <w:pPr>
        <w:ind w:firstLine="709"/>
        <w:jc w:val="both"/>
        <w:rPr>
          <w:sz w:val="24"/>
          <w:szCs w:val="24"/>
        </w:rPr>
      </w:pPr>
      <w:r w:rsidRPr="001551FD">
        <w:rPr>
          <w:sz w:val="24"/>
          <w:szCs w:val="24"/>
        </w:rPr>
        <w:t xml:space="preserve"> 16. Извещение о проведении заседания Согласительной комиссии по форме, установленной приказом Министерства экономического развития Российской Федерации от 23.04.2015 № 254,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4 средств, способами, установленными статьей 42.7 Закона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первого заседания. </w:t>
      </w:r>
    </w:p>
    <w:p w:rsidR="001551FD" w:rsidRPr="001551FD" w:rsidRDefault="001551FD" w:rsidP="001551FD">
      <w:pPr>
        <w:ind w:firstLine="709"/>
        <w:jc w:val="both"/>
        <w:rPr>
          <w:sz w:val="24"/>
          <w:szCs w:val="24"/>
        </w:rPr>
      </w:pPr>
      <w:r w:rsidRPr="001551FD">
        <w:rPr>
          <w:sz w:val="24"/>
          <w:szCs w:val="24"/>
        </w:rPr>
        <w:t xml:space="preserve">17. Проект карты-плана территории, подготовленный исполнителем работ по форме, установленной приказом </w:t>
      </w:r>
      <w:proofErr w:type="spellStart"/>
      <w:r w:rsidRPr="001551FD">
        <w:rPr>
          <w:sz w:val="24"/>
          <w:szCs w:val="24"/>
        </w:rPr>
        <w:t>Росреестра</w:t>
      </w:r>
      <w:proofErr w:type="spellEnd"/>
      <w:r w:rsidRPr="001551FD">
        <w:rPr>
          <w:sz w:val="24"/>
          <w:szCs w:val="24"/>
        </w:rPr>
        <w:t xml:space="preserve"> от 04.08.2021 № П/0337, направляется в Согласительную комиссию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в соответствии с частью 9 статьи 42.10 Закона № 221-ФЗ.</w:t>
      </w:r>
    </w:p>
    <w:p w:rsidR="001551FD" w:rsidRPr="001551FD" w:rsidRDefault="001551FD" w:rsidP="001551FD">
      <w:pPr>
        <w:ind w:firstLine="709"/>
        <w:jc w:val="both"/>
        <w:rPr>
          <w:sz w:val="24"/>
          <w:szCs w:val="24"/>
        </w:rPr>
      </w:pPr>
      <w:r w:rsidRPr="001551FD">
        <w:rPr>
          <w:sz w:val="24"/>
          <w:szCs w:val="24"/>
        </w:rPr>
        <w:t xml:space="preserve"> 18. Согласительная комиссия обеспечивает ознакомление заинтересованных лиц с проектом карты-плана территории, в том числе в форме документа на бумажном носителе, в соответствии с регламентом работы Согласительной комиссии. </w:t>
      </w:r>
    </w:p>
    <w:p w:rsidR="001551FD" w:rsidRPr="001551FD" w:rsidRDefault="001551FD" w:rsidP="001551FD">
      <w:pPr>
        <w:ind w:firstLine="709"/>
        <w:jc w:val="both"/>
        <w:rPr>
          <w:sz w:val="24"/>
          <w:szCs w:val="24"/>
        </w:rPr>
      </w:pPr>
      <w:r w:rsidRPr="001551FD">
        <w:rPr>
          <w:sz w:val="24"/>
          <w:szCs w:val="24"/>
        </w:rPr>
        <w:t>19.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1551FD" w:rsidRPr="001551FD" w:rsidRDefault="001551FD" w:rsidP="001551FD">
      <w:pPr>
        <w:ind w:firstLine="709"/>
        <w:jc w:val="both"/>
        <w:rPr>
          <w:sz w:val="24"/>
          <w:szCs w:val="24"/>
        </w:rPr>
      </w:pPr>
      <w:r w:rsidRPr="001551FD">
        <w:rPr>
          <w:sz w:val="24"/>
          <w:szCs w:val="24"/>
        </w:rPr>
        <w:t xml:space="preserve"> 20.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Законом № 221-ФЗ. </w:t>
      </w:r>
    </w:p>
    <w:p w:rsidR="001551FD" w:rsidRPr="001551FD" w:rsidRDefault="001551FD" w:rsidP="001551FD">
      <w:pPr>
        <w:ind w:firstLine="709"/>
        <w:jc w:val="both"/>
        <w:rPr>
          <w:sz w:val="24"/>
          <w:szCs w:val="24"/>
        </w:rPr>
      </w:pPr>
      <w:r w:rsidRPr="001551FD">
        <w:rPr>
          <w:sz w:val="24"/>
          <w:szCs w:val="24"/>
        </w:rPr>
        <w:t xml:space="preserve">21. Возражения заинтересованного лица, определенного в части 3 статьи 39 Закона № 221-ФЗ, относительно местоположения границ земельного участка, указанного в пунктах 1 и 2 части 1 статьи 42.1 Закона №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 комиссии. Возражения </w:t>
      </w:r>
      <w:r w:rsidRPr="001551FD">
        <w:rPr>
          <w:sz w:val="24"/>
          <w:szCs w:val="24"/>
        </w:rPr>
        <w:lastRenderedPageBreak/>
        <w:t xml:space="preserve">относительно местоположения границ земельного участка должны содержать сведения, указанные в части 15 статьи 42.10 Закона № 221-ФЗ. </w:t>
      </w:r>
    </w:p>
    <w:p w:rsidR="001551FD" w:rsidRPr="001551FD" w:rsidRDefault="001551FD" w:rsidP="001551FD">
      <w:pPr>
        <w:ind w:firstLine="709"/>
        <w:jc w:val="both"/>
        <w:rPr>
          <w:sz w:val="24"/>
          <w:szCs w:val="24"/>
        </w:rPr>
      </w:pPr>
      <w:r w:rsidRPr="001551FD">
        <w:rPr>
          <w:sz w:val="24"/>
          <w:szCs w:val="24"/>
        </w:rPr>
        <w:t xml:space="preserve">22.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 </w:t>
      </w:r>
    </w:p>
    <w:p w:rsidR="001551FD" w:rsidRPr="001551FD" w:rsidRDefault="001551FD" w:rsidP="001551FD">
      <w:pPr>
        <w:ind w:firstLine="709"/>
        <w:jc w:val="both"/>
        <w:rPr>
          <w:sz w:val="24"/>
          <w:szCs w:val="24"/>
        </w:rPr>
      </w:pPr>
      <w:r w:rsidRPr="001551FD">
        <w:rPr>
          <w:sz w:val="24"/>
          <w:szCs w:val="24"/>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Закона № 221-ФЗ, а также если местоположение таких границ или частей границ земельного участка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551FD" w:rsidRPr="001551FD" w:rsidRDefault="001551FD" w:rsidP="001551FD">
      <w:pPr>
        <w:ind w:firstLine="709"/>
        <w:jc w:val="both"/>
        <w:rPr>
          <w:sz w:val="24"/>
          <w:szCs w:val="24"/>
        </w:rPr>
      </w:pPr>
      <w:r w:rsidRPr="001551FD">
        <w:rPr>
          <w:sz w:val="24"/>
          <w:szCs w:val="24"/>
        </w:rPr>
        <w:t xml:space="preserve"> 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Закона № 221-ФЗ, за исключением случаев, когда земельный спор о местоположении границ земельного участка был разрешен в судебном порядке. </w:t>
      </w:r>
    </w:p>
    <w:p w:rsidR="001551FD" w:rsidRPr="001551FD" w:rsidRDefault="001551FD" w:rsidP="001551FD">
      <w:pPr>
        <w:ind w:firstLine="709"/>
        <w:jc w:val="both"/>
        <w:rPr>
          <w:sz w:val="24"/>
          <w:szCs w:val="24"/>
        </w:rPr>
      </w:pPr>
      <w:r w:rsidRPr="001551FD">
        <w:rPr>
          <w:sz w:val="24"/>
          <w:szCs w:val="24"/>
        </w:rPr>
        <w:t xml:space="preserve">23. По результатам работы Согласительной комиссии составляется протокол заседания Согласительной комиссии по форме, установленной приказом Министерства экономического развития Российской Федерации от 20.04.2015 № 244, а также оформляется заключение Согласительной комиссии о результатах рассмотрения возражений относительно местоположения границ земельных участков. </w:t>
      </w:r>
    </w:p>
    <w:p w:rsidR="001551FD" w:rsidRPr="001551FD" w:rsidRDefault="001551FD" w:rsidP="001551FD">
      <w:pPr>
        <w:ind w:firstLine="709"/>
        <w:jc w:val="both"/>
        <w:rPr>
          <w:sz w:val="24"/>
          <w:szCs w:val="24"/>
        </w:rPr>
      </w:pPr>
      <w:r w:rsidRPr="001551FD">
        <w:rPr>
          <w:sz w:val="24"/>
          <w:szCs w:val="24"/>
        </w:rPr>
        <w:t xml:space="preserve">24. Акт согласования местоположения границ земельных участков при выполнении комплексных кадастровых работ, форма которого установлена приказом Министерства экономического развития Российской Федерации от 21.11.2016 № 734, и заключение Согласительной комиссии, указанное в пункте 2 части 6 статьи 42.10 Закона № 221-ФЗ, оформляются Согласительной комиссией в форме документов на бумажном носителе, которые хранятся в сформировавшем ее органе местного самоуправления. </w:t>
      </w:r>
    </w:p>
    <w:p w:rsidR="001551FD" w:rsidRPr="001551FD" w:rsidRDefault="001551FD" w:rsidP="001551FD">
      <w:pPr>
        <w:ind w:firstLine="709"/>
        <w:jc w:val="both"/>
        <w:rPr>
          <w:sz w:val="24"/>
          <w:szCs w:val="24"/>
        </w:rPr>
      </w:pPr>
      <w:r w:rsidRPr="001551FD">
        <w:rPr>
          <w:sz w:val="24"/>
          <w:szCs w:val="24"/>
        </w:rPr>
        <w:t xml:space="preserve">25. В течение двадцати рабочих дней со дня истечения срока представления возражений, предусмотренных частью 14 статьи 42.10 Закона № 221-ФЗ,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 </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V. Порядок рассмотрения споров о местоположении границ земельных участков</w:t>
      </w:r>
    </w:p>
    <w:p w:rsidR="001551FD" w:rsidRPr="001551FD" w:rsidRDefault="001551FD" w:rsidP="001551FD">
      <w:pPr>
        <w:ind w:firstLine="709"/>
        <w:jc w:val="both"/>
        <w:rPr>
          <w:sz w:val="24"/>
          <w:szCs w:val="24"/>
        </w:rPr>
      </w:pPr>
    </w:p>
    <w:p w:rsidR="001551FD" w:rsidRPr="001551FD" w:rsidRDefault="001551FD" w:rsidP="001551FD">
      <w:pPr>
        <w:ind w:firstLine="709"/>
        <w:jc w:val="both"/>
        <w:rPr>
          <w:sz w:val="24"/>
          <w:szCs w:val="24"/>
        </w:rPr>
      </w:pPr>
      <w:r w:rsidRPr="001551FD">
        <w:rPr>
          <w:sz w:val="24"/>
          <w:szCs w:val="24"/>
        </w:rPr>
        <w:t>26.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1551FD" w:rsidRDefault="001551FD" w:rsidP="001551FD">
      <w:pPr>
        <w:ind w:firstLine="709"/>
        <w:jc w:val="both"/>
        <w:rPr>
          <w:sz w:val="24"/>
          <w:szCs w:val="24"/>
        </w:rPr>
      </w:pPr>
      <w:r w:rsidRPr="001551FD">
        <w:rPr>
          <w:sz w:val="24"/>
          <w:szCs w:val="24"/>
        </w:rPr>
        <w:t xml:space="preserve"> 27.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rPr>
          <w:sz w:val="24"/>
          <w:szCs w:val="24"/>
        </w:rPr>
        <w:br w:type="page"/>
      </w:r>
    </w:p>
    <w:p w:rsidR="001551FD" w:rsidRPr="001551FD" w:rsidRDefault="001551FD" w:rsidP="001551FD">
      <w:pPr>
        <w:shd w:val="clear" w:color="auto" w:fill="FFFFFF"/>
        <w:spacing w:before="24" w:after="24"/>
        <w:ind w:left="4248" w:firstLine="5"/>
        <w:jc w:val="right"/>
        <w:rPr>
          <w:sz w:val="24"/>
          <w:szCs w:val="24"/>
        </w:rPr>
      </w:pPr>
      <w:r w:rsidRPr="001551FD">
        <w:rPr>
          <w:sz w:val="24"/>
          <w:szCs w:val="24"/>
        </w:rPr>
        <w:lastRenderedPageBreak/>
        <w:t>Приложение № 2</w:t>
      </w:r>
    </w:p>
    <w:p w:rsidR="001551FD" w:rsidRPr="001551FD" w:rsidRDefault="001551FD" w:rsidP="001551FD">
      <w:pPr>
        <w:shd w:val="clear" w:color="auto" w:fill="FFFFFF"/>
        <w:ind w:left="4248" w:firstLine="5"/>
        <w:jc w:val="right"/>
        <w:rPr>
          <w:sz w:val="24"/>
          <w:szCs w:val="24"/>
        </w:rPr>
      </w:pPr>
      <w:proofErr w:type="gramStart"/>
      <w:r w:rsidRPr="001551FD">
        <w:rPr>
          <w:sz w:val="24"/>
          <w:szCs w:val="24"/>
        </w:rPr>
        <w:t>к</w:t>
      </w:r>
      <w:proofErr w:type="gramEnd"/>
      <w:r w:rsidRPr="001551FD">
        <w:rPr>
          <w:sz w:val="24"/>
          <w:szCs w:val="24"/>
        </w:rPr>
        <w:t xml:space="preserve"> постановлению администрации муниципального округа город Кировск Мурманской области от 26.04.2024 №</w:t>
      </w:r>
      <w:r>
        <w:rPr>
          <w:sz w:val="24"/>
          <w:szCs w:val="24"/>
        </w:rPr>
        <w:t xml:space="preserve"> </w:t>
      </w:r>
      <w:r w:rsidRPr="001551FD">
        <w:rPr>
          <w:sz w:val="24"/>
          <w:szCs w:val="24"/>
        </w:rPr>
        <w:t>593</w:t>
      </w:r>
    </w:p>
    <w:p w:rsidR="001551FD" w:rsidRPr="001551FD" w:rsidRDefault="001551FD" w:rsidP="001551FD">
      <w:pPr>
        <w:shd w:val="clear" w:color="auto" w:fill="FFFFFF"/>
        <w:spacing w:before="24" w:after="24"/>
        <w:jc w:val="center"/>
        <w:rPr>
          <w:sz w:val="27"/>
          <w:szCs w:val="27"/>
        </w:rPr>
      </w:pPr>
    </w:p>
    <w:p w:rsidR="001551FD" w:rsidRPr="001551FD" w:rsidRDefault="001551FD" w:rsidP="001551FD">
      <w:pPr>
        <w:shd w:val="clear" w:color="auto" w:fill="FFFFFF"/>
        <w:spacing w:before="24" w:after="24"/>
        <w:jc w:val="center"/>
        <w:rPr>
          <w:sz w:val="24"/>
          <w:szCs w:val="24"/>
        </w:rPr>
      </w:pPr>
      <w:r w:rsidRPr="001551FD">
        <w:rPr>
          <w:sz w:val="24"/>
          <w:szCs w:val="24"/>
        </w:rPr>
        <w:t>СОСТАВ</w:t>
      </w:r>
    </w:p>
    <w:p w:rsidR="001551FD" w:rsidRPr="001551FD" w:rsidRDefault="001551FD" w:rsidP="001551FD">
      <w:pPr>
        <w:shd w:val="clear" w:color="auto" w:fill="FFFFFF"/>
        <w:spacing w:before="24" w:after="24"/>
        <w:jc w:val="center"/>
        <w:rPr>
          <w:sz w:val="24"/>
          <w:szCs w:val="24"/>
        </w:rPr>
      </w:pPr>
      <w:proofErr w:type="gramStart"/>
      <w:r w:rsidRPr="001551FD">
        <w:rPr>
          <w:sz w:val="24"/>
          <w:szCs w:val="24"/>
        </w:rPr>
        <w:t>согласительной</w:t>
      </w:r>
      <w:proofErr w:type="gramEnd"/>
      <w:r w:rsidRPr="001551FD">
        <w:rPr>
          <w:sz w:val="24"/>
          <w:szCs w:val="24"/>
        </w:rPr>
        <w:t xml:space="preserve"> комиссии по согласованию местоположения границ</w:t>
      </w:r>
    </w:p>
    <w:p w:rsidR="001551FD" w:rsidRPr="001551FD" w:rsidRDefault="001551FD" w:rsidP="001551FD">
      <w:pPr>
        <w:shd w:val="clear" w:color="auto" w:fill="FFFFFF"/>
        <w:spacing w:before="24" w:after="24"/>
        <w:jc w:val="center"/>
        <w:rPr>
          <w:sz w:val="24"/>
          <w:szCs w:val="24"/>
        </w:rPr>
      </w:pPr>
      <w:proofErr w:type="gramStart"/>
      <w:r w:rsidRPr="001551FD">
        <w:rPr>
          <w:sz w:val="24"/>
          <w:szCs w:val="24"/>
        </w:rPr>
        <w:t>земельных</w:t>
      </w:r>
      <w:proofErr w:type="gramEnd"/>
      <w:r w:rsidRPr="001551FD">
        <w:rPr>
          <w:sz w:val="24"/>
          <w:szCs w:val="24"/>
        </w:rPr>
        <w:t xml:space="preserve"> участков при выполнении комплексных кадастровых работ</w:t>
      </w:r>
    </w:p>
    <w:p w:rsidR="001551FD" w:rsidRPr="001551FD" w:rsidRDefault="001551FD" w:rsidP="001551FD">
      <w:pPr>
        <w:shd w:val="clear" w:color="auto" w:fill="FFFFFF"/>
        <w:ind w:left="85"/>
        <w:jc w:val="center"/>
        <w:rPr>
          <w:sz w:val="24"/>
          <w:szCs w:val="24"/>
        </w:rPr>
      </w:pPr>
      <w:proofErr w:type="gramStart"/>
      <w:r w:rsidRPr="001551FD">
        <w:rPr>
          <w:sz w:val="24"/>
          <w:szCs w:val="24"/>
        </w:rPr>
        <w:t>на</w:t>
      </w:r>
      <w:proofErr w:type="gramEnd"/>
      <w:r w:rsidRPr="001551FD">
        <w:rPr>
          <w:sz w:val="24"/>
          <w:szCs w:val="24"/>
        </w:rPr>
        <w:t> территории муниципального округа город Кировск Мурманской области</w:t>
      </w:r>
    </w:p>
    <w:p w:rsidR="001551FD" w:rsidRPr="001551FD" w:rsidRDefault="001551FD" w:rsidP="001551FD">
      <w:pPr>
        <w:shd w:val="clear" w:color="auto" w:fill="FFFFFF"/>
        <w:spacing w:before="24" w:after="24"/>
        <w:jc w:val="center"/>
        <w:rPr>
          <w:sz w:val="24"/>
          <w:szCs w:val="24"/>
        </w:rPr>
      </w:pP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Председатель Согласительной комиссии:</w:t>
      </w:r>
    </w:p>
    <w:p w:rsidR="001551FD" w:rsidRPr="001551FD" w:rsidRDefault="001551FD" w:rsidP="001551FD">
      <w:pPr>
        <w:shd w:val="clear" w:color="auto" w:fill="FFFFFF"/>
        <w:spacing w:before="24" w:after="24"/>
        <w:jc w:val="both"/>
        <w:rPr>
          <w:sz w:val="24"/>
          <w:szCs w:val="24"/>
        </w:rPr>
      </w:pPr>
      <w:r w:rsidRPr="001551FD">
        <w:rPr>
          <w:sz w:val="24"/>
          <w:szCs w:val="24"/>
        </w:rPr>
        <w:t>- глава администрации муниципального округа город Кировск Мурманской области.</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Секретарь Согласительной комиссии:</w:t>
      </w:r>
    </w:p>
    <w:p w:rsidR="001551FD" w:rsidRPr="001551FD" w:rsidRDefault="001551FD" w:rsidP="001551FD">
      <w:pPr>
        <w:shd w:val="clear" w:color="auto" w:fill="FFFFFF"/>
        <w:spacing w:before="24" w:after="24"/>
        <w:jc w:val="both"/>
        <w:rPr>
          <w:sz w:val="24"/>
          <w:szCs w:val="24"/>
        </w:rPr>
      </w:pPr>
      <w:r w:rsidRPr="001551FD">
        <w:rPr>
          <w:sz w:val="24"/>
          <w:szCs w:val="24"/>
        </w:rPr>
        <w:t>- ведущий специалист отдела градостроительства и развития городской среды комитета по управлению муниципальной собственностью администрации города Кировска</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Члены Согласительной комиссии:</w:t>
      </w:r>
    </w:p>
    <w:p w:rsidR="001551FD" w:rsidRPr="001551FD" w:rsidRDefault="001551FD" w:rsidP="001551FD">
      <w:pPr>
        <w:shd w:val="clear" w:color="auto" w:fill="FFFFFF"/>
        <w:spacing w:before="24" w:after="24"/>
        <w:jc w:val="both"/>
        <w:rPr>
          <w:sz w:val="24"/>
          <w:szCs w:val="24"/>
        </w:rPr>
      </w:pPr>
      <w:r w:rsidRPr="001551FD">
        <w:rPr>
          <w:sz w:val="24"/>
          <w:szCs w:val="24"/>
        </w:rPr>
        <w:t>- председатель комитета по управлению муниципальной собственностью администрации города Кировска</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начальник отдела имущества и рекламы комитета по управлению муниципальной собственностью администрации города Кировска</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главный специалист отдела градостроительства и развития городской среды комитета по управлению муниципальной собственностью администрации города Кировска</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ведущий специалист отдела правовых и земельных отношений комитета по управлению муниципальной собственностью администрации города Кировска</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представитель Министерства имущественных отношений Мурманской области (по согласованию)</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представитель Министерства градостроительства и благоустройства Мурманской области (по согласованию)</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представитель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 (по согласованию)</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представитель Управления Федеральной службы государственной регистрации, кадастра и картографии по Мурманской области (по согласованию)</w:t>
      </w:r>
    </w:p>
    <w:p w:rsidR="001551FD" w:rsidRPr="001551FD" w:rsidRDefault="001551FD" w:rsidP="001551FD">
      <w:pPr>
        <w:shd w:val="clear" w:color="auto" w:fill="FFFFFF"/>
        <w:spacing w:before="24" w:after="24"/>
        <w:jc w:val="both"/>
        <w:rPr>
          <w:sz w:val="24"/>
          <w:szCs w:val="24"/>
        </w:rPr>
      </w:pPr>
    </w:p>
    <w:p w:rsidR="001551FD" w:rsidRPr="001551FD" w:rsidRDefault="001551FD" w:rsidP="001551FD">
      <w:pPr>
        <w:shd w:val="clear" w:color="auto" w:fill="FFFFFF"/>
        <w:spacing w:before="24" w:after="24"/>
        <w:jc w:val="both"/>
        <w:rPr>
          <w:sz w:val="24"/>
          <w:szCs w:val="24"/>
        </w:rPr>
      </w:pPr>
      <w:r w:rsidRPr="001551FD">
        <w:rPr>
          <w:sz w:val="24"/>
          <w:szCs w:val="24"/>
        </w:rPr>
        <w:t>- представитель саморегулируемой организации, членом которой является кадастровый инженер (по согласованию)</w:t>
      </w:r>
    </w:p>
    <w:p w:rsidR="001551FD" w:rsidRPr="001551FD" w:rsidRDefault="001551FD" w:rsidP="001551FD">
      <w:pPr>
        <w:shd w:val="clear" w:color="auto" w:fill="FFFFFF"/>
        <w:spacing w:before="24" w:after="24"/>
        <w:jc w:val="both"/>
        <w:rPr>
          <w:sz w:val="24"/>
          <w:szCs w:val="24"/>
        </w:rPr>
      </w:pPr>
      <w:r w:rsidRPr="001551FD">
        <w:rPr>
          <w:sz w:val="24"/>
          <w:szCs w:val="24"/>
        </w:rPr>
        <w:t xml:space="preserve"> </w:t>
      </w:r>
    </w:p>
    <w:p w:rsidR="001551FD" w:rsidRPr="001551FD" w:rsidRDefault="001551FD" w:rsidP="001551FD">
      <w:pPr>
        <w:shd w:val="clear" w:color="auto" w:fill="FFFFFF"/>
        <w:spacing w:before="24" w:after="24"/>
        <w:jc w:val="both"/>
        <w:rPr>
          <w:sz w:val="24"/>
          <w:szCs w:val="24"/>
        </w:rPr>
      </w:pPr>
    </w:p>
    <w:p w:rsidR="00A96A6D" w:rsidRPr="001551FD" w:rsidRDefault="001551FD" w:rsidP="001551FD">
      <w:pPr>
        <w:widowControl w:val="0"/>
        <w:autoSpaceDE w:val="0"/>
        <w:autoSpaceDN w:val="0"/>
        <w:adjustRightInd w:val="0"/>
        <w:jc w:val="both"/>
        <w:outlineLvl w:val="0"/>
        <w:rPr>
          <w:sz w:val="24"/>
          <w:szCs w:val="24"/>
        </w:rPr>
      </w:pPr>
      <w:r w:rsidRPr="001551FD">
        <w:rPr>
          <w:sz w:val="24"/>
          <w:szCs w:val="24"/>
        </w:rPr>
        <w:t xml:space="preserve">Примечание: на период отсутствия членов комиссии их заменяют лица, исполняющие их </w:t>
      </w:r>
      <w:r w:rsidRPr="001551FD">
        <w:rPr>
          <w:sz w:val="24"/>
          <w:szCs w:val="24"/>
        </w:rPr>
        <w:lastRenderedPageBreak/>
        <w:t>обязанности.</w:t>
      </w:r>
    </w:p>
    <w:sectPr w:rsidR="00A96A6D" w:rsidRPr="001551FD"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CB" w:rsidRDefault="000156CB" w:rsidP="00604D4F">
      <w:r>
        <w:separator/>
      </w:r>
    </w:p>
  </w:endnote>
  <w:endnote w:type="continuationSeparator" w:id="0">
    <w:p w:rsidR="000156CB" w:rsidRDefault="000156CB"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CB" w:rsidRDefault="000156CB" w:rsidP="00604D4F">
      <w:r>
        <w:separator/>
      </w:r>
    </w:p>
  </w:footnote>
  <w:footnote w:type="continuationSeparator" w:id="0">
    <w:p w:rsidR="000156CB" w:rsidRDefault="000156CB"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56CB"/>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7E66"/>
    <w:rsid w:val="000B102A"/>
    <w:rsid w:val="000C2DE6"/>
    <w:rsid w:val="000D4DF3"/>
    <w:rsid w:val="000D653E"/>
    <w:rsid w:val="00114A00"/>
    <w:rsid w:val="0011512E"/>
    <w:rsid w:val="00120705"/>
    <w:rsid w:val="00137204"/>
    <w:rsid w:val="00145B67"/>
    <w:rsid w:val="001551FD"/>
    <w:rsid w:val="00171900"/>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A5DFD"/>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C6989"/>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A4D07"/>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81DE8"/>
    <w:rsid w:val="00A9380F"/>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7004B"/>
    <w:rsid w:val="00F722A3"/>
    <w:rsid w:val="00F77027"/>
    <w:rsid w:val="00F829FC"/>
    <w:rsid w:val="00F8503A"/>
    <w:rsid w:val="00F8783E"/>
    <w:rsid w:val="00F925AC"/>
    <w:rsid w:val="00FA4149"/>
    <w:rsid w:val="00FA616F"/>
    <w:rsid w:val="00FB025A"/>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B60DB-703B-44F1-9C8E-CACC9FA6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2024-04-27T07:11:00Z</dcterms:created>
  <dcterms:modified xsi:type="dcterms:W3CDTF">2024-04-27T07:11:00Z</dcterms:modified>
</cp:coreProperties>
</file>