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 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город Кировск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Мурманской области</w:t>
      </w:r>
    </w:p>
    <w:p w:rsidR="00DF4238" w:rsidRDefault="00DF4238" w:rsidP="00DF423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A041C">
        <w:rPr>
          <w:rFonts w:ascii="Times New Roman" w:eastAsia="Calibri" w:hAnsi="Times New Roman" w:cs="Times New Roman"/>
          <w:sz w:val="26"/>
          <w:szCs w:val="26"/>
        </w:rPr>
        <w:t>16.02.2024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A041C">
        <w:rPr>
          <w:rFonts w:ascii="Times New Roman" w:eastAsia="Calibri" w:hAnsi="Times New Roman" w:cs="Times New Roman"/>
          <w:sz w:val="26"/>
          <w:szCs w:val="26"/>
        </w:rPr>
        <w:t>257</w:t>
      </w:r>
    </w:p>
    <w:p w:rsidR="00DF4238" w:rsidRDefault="00DF4238" w:rsidP="00DF42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4238" w:rsidRPr="00777430" w:rsidRDefault="00DF4238" w:rsidP="00DF42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430">
        <w:rPr>
          <w:rFonts w:ascii="Times New Roman" w:hAnsi="Times New Roman" w:cs="Times New Roman"/>
          <w:sz w:val="26"/>
          <w:szCs w:val="26"/>
        </w:rPr>
        <w:t>Перечень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специальных мест для размещения печатных предвыборных 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агитационных материалов на территории избирательных участков </w:t>
      </w:r>
    </w:p>
    <w:p w:rsidR="00573E5C" w:rsidRP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Кировск с подведомственной </w:t>
      </w:r>
    </w:p>
    <w:p w:rsidR="00B73D25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территорией </w:t>
      </w:r>
      <w:r w:rsidR="00B73D25">
        <w:rPr>
          <w:rFonts w:ascii="Times New Roman" w:hAnsi="Times New Roman" w:cs="Times New Roman"/>
          <w:sz w:val="26"/>
          <w:szCs w:val="26"/>
        </w:rPr>
        <w:t xml:space="preserve">Мурманской области </w:t>
      </w:r>
      <w:r w:rsidRPr="00573E5C">
        <w:rPr>
          <w:rFonts w:ascii="Times New Roman" w:hAnsi="Times New Roman" w:cs="Times New Roman"/>
          <w:sz w:val="26"/>
          <w:szCs w:val="26"/>
        </w:rPr>
        <w:t>на выборах</w:t>
      </w:r>
    </w:p>
    <w:p w:rsidR="00DF4238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3E5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</w:t>
      </w:r>
      <w:r w:rsidR="00B73D25">
        <w:rPr>
          <w:rFonts w:ascii="Times New Roman" w:hAnsi="Times New Roman" w:cs="Times New Roman"/>
          <w:sz w:val="26"/>
          <w:szCs w:val="26"/>
        </w:rPr>
        <w:t xml:space="preserve"> 15-</w:t>
      </w:r>
      <w:r w:rsidRPr="00573E5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73E5C">
        <w:rPr>
          <w:rFonts w:ascii="Times New Roman" w:hAnsi="Times New Roman" w:cs="Times New Roman"/>
          <w:sz w:val="26"/>
          <w:szCs w:val="26"/>
        </w:rPr>
        <w:t xml:space="preserve"> марта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573E5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5670"/>
      </w:tblGrid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Избирательный участок, центр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Место размещения агитационных материалов</w:t>
            </w:r>
          </w:p>
        </w:tc>
      </w:tr>
      <w:tr w:rsidR="00573E5C" w:rsidRPr="00504D5A" w:rsidTr="007D4D26">
        <w:trPr>
          <w:trHeight w:val="483"/>
        </w:trPr>
        <w:tc>
          <w:tcPr>
            <w:tcW w:w="3573" w:type="dxa"/>
            <w:vMerge w:val="restart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233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2»,       ул. Кирова, д.27а)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573E5C" w:rsidRDefault="00D96C16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помещений цокольного этажа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D96C16" w:rsidRPr="00573E5C" w:rsidRDefault="00D96C16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нежилых помещений (г. Кировск, ул. Кирова д. 30)</w:t>
            </w:r>
          </w:p>
        </w:tc>
      </w:tr>
      <w:tr w:rsidR="00573E5C" w:rsidRPr="00504D5A" w:rsidTr="007D4D26">
        <w:trPr>
          <w:trHeight w:val="483"/>
        </w:trPr>
        <w:tc>
          <w:tcPr>
            <w:tcW w:w="3573" w:type="dxa"/>
            <w:vMerge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E5C" w:rsidRPr="00504D5A" w:rsidTr="007D4D26">
        <w:trPr>
          <w:trHeight w:val="872"/>
        </w:trPr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234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2»,            ул. Кирова. д.27а)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C16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помещений цокольного этажа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нежилых помещений (г. Кировск, ул. Кирова д. 30)</w:t>
            </w:r>
          </w:p>
        </w:tc>
      </w:tr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2D4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235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МАУ</w:t>
            </w:r>
            <w:r w:rsidR="002D42E5" w:rsidRPr="002D42E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D42E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СШ 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>г. Кировска</w:t>
            </w:r>
            <w:r w:rsidR="002D42E5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, ул.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Олимпийская, д. 34а)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центрального входа нежилого здания (г. Кировск, ул. Олимпийская, д. 12)                                                                 Входные группы нежилого здания (г. Кировск, ул. Олимпийская, д. 4)               </w:t>
            </w:r>
          </w:p>
        </w:tc>
      </w:tr>
      <w:tr w:rsidR="00573E5C" w:rsidRPr="00504D5A" w:rsidTr="007D4D26">
        <w:tc>
          <w:tcPr>
            <w:tcW w:w="3573" w:type="dxa"/>
            <w:shd w:val="clear" w:color="auto" w:fill="auto"/>
            <w:vAlign w:val="center"/>
          </w:tcPr>
          <w:p w:rsidR="00573E5C" w:rsidRPr="00573E5C" w:rsidRDefault="00573E5C" w:rsidP="002D4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236                                                  </w:t>
            </w:r>
            <w:r w:rsidR="003A041C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МАУ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D42E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3A041C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СШ 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>г. Кировска</w:t>
            </w:r>
            <w:r w:rsidR="002D42E5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3A041C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, ул.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A041C"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Олимпийская, д. 34а)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центрального входа нежилого здания (г. Кировск, ул. Олимпийская, д. 12)                                                                 Входные группы нежилого здания (г. Кировск, ул. Олимпийская, д. 4)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237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«Хибинская гимназия», ул.</w:t>
            </w:r>
            <w:r w:rsidR="003A04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Олимпийская,                    д. 57а)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Парковая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12а)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ул.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238 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«Хибинская гимназия», ул.</w:t>
            </w:r>
            <w:r w:rsidR="002D42E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Олимпийская,           д. 57а)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 филиала центральной городской библиотеки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здания Кировского молодежного центра (г. Кировск, 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д. 4а)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239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7»,                ул. Мира, д.11)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573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 филиала центральной городской библиотеки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здания Кировского молодежного центра (г. Кировск, ул.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Кондрикова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д. 4а)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240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МАУК «Кировский городской Дворец культуры»,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Юбилейная, д. 5, пекарня «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Тандыр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Мира д. 9, бассейн)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административного здания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13)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241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7»,                ул. Мира, д.11)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573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здания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Мира д. 9, бассейн)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административного здания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13)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242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МАУК «Кировский городской Дворец культуры»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в районе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 8 по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в г. Кировске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Входные группы нежилых помещений</w:t>
            </w:r>
            <w:r w:rsidR="007E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здания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9а)                           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Входная группа Ц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ентральн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15) 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(</w:t>
            </w:r>
            <w:r w:rsidR="00D96C16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Ленинградская, 2)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243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7»,                пр. Ленина, д.25)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73D25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                      (г. Кировск, ул.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244  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МАУК «Кировский городской Дворец культуры»              ул. Мира, д.7)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(г. Кировск, ул.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спортивного ядра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50 лет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4а)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245  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5»,              ул. Советской конституции, д.10)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нежилого помещения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(г. Кировск, ул.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Хибиногорская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36)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МАУ СОК «Горняк»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Советской Конституции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14)                     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246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(центр – МАУК «Кировский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городской Дворец культуры»              ул. Мира, д.7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D96C16" w:rsidP="00D96C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Входная группа нежилого п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(аптека)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20а)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Входная группа нежилого п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омещени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(кафе)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ул. Ленинградская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20а)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247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МБОУ «СОШ № 7»,               пр. Ленина, д.25)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190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Входная группа в городскую поликлинику </w:t>
            </w:r>
            <w:r w:rsidR="00B73D2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28) 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Входная группа в НИЛ ФБУН «СЗНЦ гигиены и общественного здоровья» (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г. Кировск, 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190DD9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34) 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248 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(центр – поликлиника,                              пр. Ленина, д.28)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573E5C" w:rsidP="007D4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3D25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в районе автобусного павильона остановки «ул. Солнечная»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249        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(центр – СДК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. Титан)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C7B5A" w:rsidP="00BC7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группа нежилого помещения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. Титан, 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Входная группа нежилого помещения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. Титан,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73E5C" w:rsidRPr="00A52D71" w:rsidTr="007D4D26">
        <w:tc>
          <w:tcPr>
            <w:tcW w:w="3573" w:type="dxa"/>
            <w:shd w:val="clear" w:color="auto" w:fill="auto"/>
          </w:tcPr>
          <w:p w:rsidR="00573E5C" w:rsidRPr="00573E5C" w:rsidRDefault="00573E5C" w:rsidP="007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3E5C">
              <w:rPr>
                <w:rFonts w:ascii="Times New Roman" w:hAnsi="Times New Roman" w:cs="Times New Roman"/>
                <w:sz w:val="26"/>
                <w:szCs w:val="26"/>
              </w:rPr>
              <w:t xml:space="preserve">№ 250                                            </w:t>
            </w:r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(центр – СДК </w:t>
            </w:r>
            <w:proofErr w:type="spellStart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н.п</w:t>
            </w:r>
            <w:proofErr w:type="spellEnd"/>
            <w:r w:rsidRPr="00573E5C">
              <w:rPr>
                <w:rFonts w:ascii="Times New Roman" w:hAnsi="Times New Roman" w:cs="Times New Roman"/>
                <w:i/>
                <w:sz w:val="26"/>
                <w:szCs w:val="26"/>
              </w:rPr>
              <w:t>. Коашва)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73E5C" w:rsidRPr="00573E5C" w:rsidRDefault="00BC7B5A" w:rsidP="00BC7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группы нежилых помещений 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. Коашва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5</w:t>
            </w:r>
            <w:r w:rsidR="00573E5C" w:rsidRPr="00573E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Входная группа нежилого здания (магазин № 6)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Коашва д. 19)</w:t>
            </w:r>
          </w:p>
        </w:tc>
      </w:tr>
    </w:tbl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3E5C" w:rsidRDefault="00573E5C" w:rsidP="00573E5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60A1" w:rsidRDefault="001260A1" w:rsidP="00126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260A1" w:rsidSect="00263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3"/>
    <w:rsid w:val="00026D1A"/>
    <w:rsid w:val="000614A0"/>
    <w:rsid w:val="000653F1"/>
    <w:rsid w:val="000679A9"/>
    <w:rsid w:val="0008757A"/>
    <w:rsid w:val="000876CD"/>
    <w:rsid w:val="00091B66"/>
    <w:rsid w:val="000D077E"/>
    <w:rsid w:val="00101F92"/>
    <w:rsid w:val="00104316"/>
    <w:rsid w:val="00110FD3"/>
    <w:rsid w:val="001260A1"/>
    <w:rsid w:val="001317F8"/>
    <w:rsid w:val="00137FDD"/>
    <w:rsid w:val="00141954"/>
    <w:rsid w:val="00142094"/>
    <w:rsid w:val="00190DD9"/>
    <w:rsid w:val="001C322C"/>
    <w:rsid w:val="001C791E"/>
    <w:rsid w:val="001D0FA5"/>
    <w:rsid w:val="001F18E8"/>
    <w:rsid w:val="001F209B"/>
    <w:rsid w:val="0023165E"/>
    <w:rsid w:val="00247FC6"/>
    <w:rsid w:val="00263A01"/>
    <w:rsid w:val="00264FCF"/>
    <w:rsid w:val="002850FB"/>
    <w:rsid w:val="00293DA7"/>
    <w:rsid w:val="00296D52"/>
    <w:rsid w:val="002B6287"/>
    <w:rsid w:val="002C0627"/>
    <w:rsid w:val="002D2F54"/>
    <w:rsid w:val="002D42E5"/>
    <w:rsid w:val="003046F7"/>
    <w:rsid w:val="00335DB7"/>
    <w:rsid w:val="003558BD"/>
    <w:rsid w:val="00374E2D"/>
    <w:rsid w:val="00380457"/>
    <w:rsid w:val="00394231"/>
    <w:rsid w:val="003A041C"/>
    <w:rsid w:val="003A2AB1"/>
    <w:rsid w:val="003E0BF8"/>
    <w:rsid w:val="003F6608"/>
    <w:rsid w:val="003F6B9C"/>
    <w:rsid w:val="004109A5"/>
    <w:rsid w:val="0043562B"/>
    <w:rsid w:val="00495C87"/>
    <w:rsid w:val="004A3C2B"/>
    <w:rsid w:val="004B500C"/>
    <w:rsid w:val="004C2DAA"/>
    <w:rsid w:val="005070FC"/>
    <w:rsid w:val="00513B73"/>
    <w:rsid w:val="00530D8E"/>
    <w:rsid w:val="00561AC2"/>
    <w:rsid w:val="00573E5C"/>
    <w:rsid w:val="005A2F0D"/>
    <w:rsid w:val="005B3473"/>
    <w:rsid w:val="005F0A30"/>
    <w:rsid w:val="005F74FA"/>
    <w:rsid w:val="00602C3E"/>
    <w:rsid w:val="006721EF"/>
    <w:rsid w:val="00682848"/>
    <w:rsid w:val="00691B94"/>
    <w:rsid w:val="006A2999"/>
    <w:rsid w:val="006B33C1"/>
    <w:rsid w:val="006B4F36"/>
    <w:rsid w:val="006D3740"/>
    <w:rsid w:val="00725662"/>
    <w:rsid w:val="007332D7"/>
    <w:rsid w:val="0073608D"/>
    <w:rsid w:val="00743CF8"/>
    <w:rsid w:val="00782B9D"/>
    <w:rsid w:val="00793C41"/>
    <w:rsid w:val="007B13B9"/>
    <w:rsid w:val="007E0556"/>
    <w:rsid w:val="007E37DF"/>
    <w:rsid w:val="007E67EC"/>
    <w:rsid w:val="00816896"/>
    <w:rsid w:val="00826E31"/>
    <w:rsid w:val="008E5F71"/>
    <w:rsid w:val="00961914"/>
    <w:rsid w:val="009D1FF0"/>
    <w:rsid w:val="009D217F"/>
    <w:rsid w:val="009E2BD2"/>
    <w:rsid w:val="009F0C25"/>
    <w:rsid w:val="009F4C8C"/>
    <w:rsid w:val="00A34CAD"/>
    <w:rsid w:val="00A4181A"/>
    <w:rsid w:val="00A81CDD"/>
    <w:rsid w:val="00AB515A"/>
    <w:rsid w:val="00AE187B"/>
    <w:rsid w:val="00AE328C"/>
    <w:rsid w:val="00AE563E"/>
    <w:rsid w:val="00B0089A"/>
    <w:rsid w:val="00B5255E"/>
    <w:rsid w:val="00B71D01"/>
    <w:rsid w:val="00B73D25"/>
    <w:rsid w:val="00B7418C"/>
    <w:rsid w:val="00BC7B5A"/>
    <w:rsid w:val="00BF041A"/>
    <w:rsid w:val="00C22236"/>
    <w:rsid w:val="00C31B6C"/>
    <w:rsid w:val="00C5343E"/>
    <w:rsid w:val="00C63D0A"/>
    <w:rsid w:val="00CE0DB2"/>
    <w:rsid w:val="00D11294"/>
    <w:rsid w:val="00D160B0"/>
    <w:rsid w:val="00D5397C"/>
    <w:rsid w:val="00D76200"/>
    <w:rsid w:val="00D9128D"/>
    <w:rsid w:val="00D92C9A"/>
    <w:rsid w:val="00D95A6C"/>
    <w:rsid w:val="00D96C16"/>
    <w:rsid w:val="00DA2C6D"/>
    <w:rsid w:val="00DE3A7C"/>
    <w:rsid w:val="00DF4238"/>
    <w:rsid w:val="00DF6204"/>
    <w:rsid w:val="00E0707D"/>
    <w:rsid w:val="00E44549"/>
    <w:rsid w:val="00E60AEC"/>
    <w:rsid w:val="00E65BF0"/>
    <w:rsid w:val="00EA7E66"/>
    <w:rsid w:val="00EC0ABD"/>
    <w:rsid w:val="00EC748A"/>
    <w:rsid w:val="00ED5970"/>
    <w:rsid w:val="00F07408"/>
    <w:rsid w:val="00F439D4"/>
    <w:rsid w:val="00F55AC4"/>
    <w:rsid w:val="00FA318D"/>
    <w:rsid w:val="00FD7504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9661-602B-4D1F-A95D-681D2DC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F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C53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5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1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0D07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793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5C8B-B2F4-452A-8645-78321B5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О.В.</dc:creator>
  <cp:keywords/>
  <dc:description/>
  <cp:lastModifiedBy>Образцова Елена Геннадьевна</cp:lastModifiedBy>
  <cp:revision>2</cp:revision>
  <cp:lastPrinted>2024-02-16T14:16:00Z</cp:lastPrinted>
  <dcterms:created xsi:type="dcterms:W3CDTF">2024-02-19T07:14:00Z</dcterms:created>
  <dcterms:modified xsi:type="dcterms:W3CDTF">2024-02-19T07:14:00Z</dcterms:modified>
</cp:coreProperties>
</file>